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EA" w:rsidRDefault="008D2FEA" w:rsidP="008D2FEA">
      <w:pPr>
        <w:pStyle w:val="1"/>
        <w:widowControl w:val="0"/>
        <w:ind w:firstLine="567"/>
      </w:pPr>
      <w:r>
        <w:t>ДОКЛАД  УФАС по КЧР (административная и судебная части)</w:t>
      </w:r>
    </w:p>
    <w:p w:rsidR="008D2FEA" w:rsidRDefault="008D2FEA" w:rsidP="008D2FEA"/>
    <w:p w:rsidR="008D2FEA" w:rsidRDefault="008D2FEA" w:rsidP="008D2FEA">
      <w:pPr>
        <w:pStyle w:val="1"/>
        <w:widowControl w:val="0"/>
        <w:ind w:firstLine="567"/>
        <w:jc w:val="both"/>
        <w:rPr>
          <w:b w:val="0"/>
        </w:rPr>
      </w:pPr>
    </w:p>
    <w:p w:rsidR="008D2FEA" w:rsidRDefault="008D2FEA" w:rsidP="008D2FEA">
      <w:pPr>
        <w:pStyle w:val="1"/>
        <w:widowControl w:val="0"/>
        <w:ind w:firstLine="567"/>
      </w:pPr>
      <w:r>
        <w:t>Уважаемые участники с</w:t>
      </w:r>
      <w:r w:rsidR="006F616B">
        <w:t>лушаний</w:t>
      </w:r>
      <w:r>
        <w:t>!</w:t>
      </w:r>
    </w:p>
    <w:p w:rsidR="008D2FEA" w:rsidRDefault="008D2FEA" w:rsidP="008D2FEA"/>
    <w:p w:rsidR="008D2FEA" w:rsidRPr="00C7547B" w:rsidRDefault="00435227" w:rsidP="00C7547B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AD0148">
        <w:rPr>
          <w:szCs w:val="28"/>
        </w:rPr>
        <w:t>В</w:t>
      </w:r>
      <w:r w:rsidR="008D2FEA" w:rsidRPr="00C7547B">
        <w:rPr>
          <w:szCs w:val="28"/>
        </w:rPr>
        <w:t xml:space="preserve"> рамках настоящих слушаний </w:t>
      </w:r>
      <w:r w:rsidR="00AD0148">
        <w:rPr>
          <w:szCs w:val="28"/>
        </w:rPr>
        <w:t xml:space="preserve">я </w:t>
      </w:r>
      <w:r w:rsidR="008D2FEA" w:rsidRPr="00C7547B">
        <w:rPr>
          <w:szCs w:val="28"/>
        </w:rPr>
        <w:t>раскр</w:t>
      </w:r>
      <w:r w:rsidR="00AD0148">
        <w:rPr>
          <w:szCs w:val="28"/>
        </w:rPr>
        <w:t>ою</w:t>
      </w:r>
      <w:r w:rsidR="008D2FEA" w:rsidRPr="00C7547B">
        <w:rPr>
          <w:szCs w:val="28"/>
        </w:rPr>
        <w:t xml:space="preserve"> административную и судебную работу, проведенную </w:t>
      </w:r>
      <w:r w:rsidR="00115A5D" w:rsidRPr="00C7547B">
        <w:rPr>
          <w:szCs w:val="28"/>
        </w:rPr>
        <w:t>Управлени</w:t>
      </w:r>
      <w:r w:rsidR="00115A5D">
        <w:rPr>
          <w:szCs w:val="28"/>
        </w:rPr>
        <w:t>ем</w:t>
      </w:r>
      <w:r w:rsidR="008D2FEA" w:rsidRPr="00C7547B">
        <w:rPr>
          <w:szCs w:val="28"/>
        </w:rPr>
        <w:t>.</w:t>
      </w:r>
    </w:p>
    <w:p w:rsidR="00C7547B" w:rsidRPr="00C7547B" w:rsidRDefault="00C7547B" w:rsidP="00C7547B">
      <w:pPr>
        <w:ind w:firstLine="708"/>
        <w:jc w:val="both"/>
        <w:rPr>
          <w:szCs w:val="28"/>
        </w:rPr>
      </w:pPr>
      <w:r w:rsidRPr="00C7547B">
        <w:rPr>
          <w:szCs w:val="28"/>
        </w:rPr>
        <w:t xml:space="preserve">В соответствии с </w:t>
      </w:r>
      <w:r w:rsidR="00115A5D" w:rsidRPr="00C7547B">
        <w:rPr>
          <w:szCs w:val="28"/>
        </w:rPr>
        <w:t>Положением о Федеральной антимонопольной службе, утвержденном Постановлением Правительства Российской Федерации</w:t>
      </w:r>
      <w:r w:rsidR="00747620">
        <w:rPr>
          <w:szCs w:val="28"/>
        </w:rPr>
        <w:t xml:space="preserve"> от 30.06.2004 года №331</w:t>
      </w:r>
      <w:r w:rsidR="00115A5D">
        <w:rPr>
          <w:szCs w:val="28"/>
        </w:rPr>
        <w:t>, а также п</w:t>
      </w:r>
      <w:r w:rsidRPr="00C7547B">
        <w:rPr>
          <w:szCs w:val="28"/>
        </w:rPr>
        <w:t xml:space="preserve">унктом 5 Постановления Правительства Российской Федерации от 07 апреля 2004 г. №189 основными функциями </w:t>
      </w:r>
      <w:r w:rsidR="00AD0148">
        <w:rPr>
          <w:szCs w:val="28"/>
        </w:rPr>
        <w:t xml:space="preserve">антимонопольного органа </w:t>
      </w:r>
      <w:r w:rsidRPr="00C7547B">
        <w:rPr>
          <w:szCs w:val="28"/>
        </w:rPr>
        <w:t xml:space="preserve"> являются:</w:t>
      </w:r>
    </w:p>
    <w:p w:rsidR="00C7547B" w:rsidRPr="00C7547B" w:rsidRDefault="00C7547B" w:rsidP="00115A5D">
      <w:pPr>
        <w:ind w:firstLine="709"/>
        <w:jc w:val="both"/>
        <w:rPr>
          <w:szCs w:val="28"/>
        </w:rPr>
      </w:pPr>
      <w:r w:rsidRPr="00C7547B">
        <w:rPr>
          <w:szCs w:val="28"/>
        </w:rPr>
        <w:t>1)      контроль за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C7547B" w:rsidRPr="00C7547B" w:rsidRDefault="00C7547B" w:rsidP="00115A5D">
      <w:pPr>
        <w:ind w:firstLine="709"/>
        <w:jc w:val="both"/>
        <w:rPr>
          <w:szCs w:val="28"/>
        </w:rPr>
      </w:pPr>
      <w:r w:rsidRPr="00C7547B">
        <w:rPr>
          <w:szCs w:val="28"/>
        </w:rPr>
        <w:t>2)      надзор и контроль за соблюдением законодательства о естественных монополиях;</w:t>
      </w:r>
    </w:p>
    <w:p w:rsidR="00C7547B" w:rsidRPr="00C7547B" w:rsidRDefault="00C7547B" w:rsidP="00115A5D">
      <w:pPr>
        <w:ind w:firstLine="709"/>
        <w:jc w:val="both"/>
        <w:rPr>
          <w:szCs w:val="28"/>
        </w:rPr>
      </w:pPr>
      <w:r w:rsidRPr="00C7547B">
        <w:rPr>
          <w:szCs w:val="28"/>
        </w:rPr>
        <w:t>3)      надзор и контроль за соблюдением законодательства о рекламе;</w:t>
      </w:r>
    </w:p>
    <w:p w:rsidR="008D2FEA" w:rsidRPr="00435227" w:rsidRDefault="00C7547B" w:rsidP="00435227">
      <w:pPr>
        <w:ind w:firstLine="709"/>
        <w:jc w:val="both"/>
        <w:rPr>
          <w:rFonts w:eastAsiaTheme="minorHAnsi"/>
          <w:szCs w:val="28"/>
          <w:lang w:eastAsia="en-US"/>
        </w:rPr>
      </w:pPr>
      <w:r w:rsidRPr="00C7547B">
        <w:rPr>
          <w:szCs w:val="28"/>
        </w:rPr>
        <w:t>4)      контроль в сфере закупок товаров, работ, услуг для обеспечения государственных и муниципальных нужд</w:t>
      </w:r>
      <w:r w:rsidR="00AD0148">
        <w:rPr>
          <w:szCs w:val="28"/>
        </w:rPr>
        <w:t>, а также</w:t>
      </w:r>
      <w:r w:rsidRPr="00C7547B">
        <w:rPr>
          <w:szCs w:val="28"/>
        </w:rPr>
        <w:t xml:space="preserve"> в сфере закупок товаров, работ, услуг отдельными видами юридических лиц</w:t>
      </w:r>
      <w:r>
        <w:rPr>
          <w:szCs w:val="28"/>
        </w:rPr>
        <w:t xml:space="preserve"> и др.</w:t>
      </w:r>
    </w:p>
    <w:p w:rsidR="00B42369" w:rsidRPr="00435227" w:rsidRDefault="008D2FEA" w:rsidP="008D2FEA">
      <w:pPr>
        <w:jc w:val="both"/>
        <w:rPr>
          <w:szCs w:val="28"/>
        </w:rPr>
      </w:pPr>
      <w:r w:rsidRPr="00435227">
        <w:tab/>
      </w:r>
      <w:r w:rsidR="00AD0148" w:rsidRPr="00435227">
        <w:t>В</w:t>
      </w:r>
      <w:r w:rsidR="00115A5D" w:rsidRPr="00435227">
        <w:t xml:space="preserve"> ходе исполнения возложенных на Управление </w:t>
      </w:r>
      <w:r w:rsidR="00AD0148" w:rsidRPr="00435227">
        <w:t>полномочий</w:t>
      </w:r>
      <w:r w:rsidR="00115A5D" w:rsidRPr="00435227">
        <w:t>, в</w:t>
      </w:r>
      <w:r w:rsidR="009C1FF8" w:rsidRPr="00435227">
        <w:t xml:space="preserve"> 4 квартале 2020 </w:t>
      </w:r>
      <w:r w:rsidRPr="00435227">
        <w:rPr>
          <w:szCs w:val="28"/>
        </w:rPr>
        <w:t>год</w:t>
      </w:r>
      <w:r w:rsidR="00E14C0D" w:rsidRPr="00435227">
        <w:rPr>
          <w:szCs w:val="28"/>
        </w:rPr>
        <w:t>а</w:t>
      </w:r>
      <w:r w:rsidRPr="00435227">
        <w:rPr>
          <w:szCs w:val="28"/>
        </w:rPr>
        <w:t xml:space="preserve"> Управлением возбуждено </w:t>
      </w:r>
      <w:r w:rsidR="0093357C">
        <w:rPr>
          <w:szCs w:val="28"/>
        </w:rPr>
        <w:t>47</w:t>
      </w:r>
      <w:r w:rsidRPr="00435227">
        <w:rPr>
          <w:szCs w:val="28"/>
        </w:rPr>
        <w:t xml:space="preserve"> дел об административных правонарушениях, по которым </w:t>
      </w:r>
      <w:r w:rsidRPr="0093357C">
        <w:rPr>
          <w:color w:val="000000" w:themeColor="text1"/>
          <w:szCs w:val="28"/>
        </w:rPr>
        <w:t xml:space="preserve">вынесено  </w:t>
      </w:r>
      <w:r w:rsidR="0093357C" w:rsidRPr="0093357C">
        <w:rPr>
          <w:color w:val="000000" w:themeColor="text1"/>
          <w:szCs w:val="28"/>
        </w:rPr>
        <w:t>17</w:t>
      </w:r>
      <w:r w:rsidRPr="0093357C">
        <w:rPr>
          <w:color w:val="000000" w:themeColor="text1"/>
          <w:szCs w:val="28"/>
        </w:rPr>
        <w:t xml:space="preserve"> </w:t>
      </w:r>
      <w:r w:rsidRPr="00435227">
        <w:rPr>
          <w:szCs w:val="28"/>
        </w:rPr>
        <w:t>постановлений о назначении административных наказаний</w:t>
      </w:r>
      <w:r w:rsidR="00B42369" w:rsidRPr="00435227">
        <w:rPr>
          <w:szCs w:val="28"/>
        </w:rPr>
        <w:t>.</w:t>
      </w:r>
    </w:p>
    <w:p w:rsidR="00AC663F" w:rsidRDefault="008D2FEA" w:rsidP="00AC663F">
      <w:pPr>
        <w:jc w:val="both"/>
        <w:rPr>
          <w:szCs w:val="28"/>
        </w:rPr>
      </w:pPr>
      <w:r w:rsidRPr="00435227">
        <w:rPr>
          <w:szCs w:val="28"/>
        </w:rPr>
        <w:tab/>
        <w:t xml:space="preserve">В своей массе, основными нарушениями в сфере ответственности Управления являются  нарушения, совершенные </w:t>
      </w:r>
      <w:r w:rsidR="00C7547B" w:rsidRPr="00435227">
        <w:rPr>
          <w:szCs w:val="28"/>
        </w:rPr>
        <w:t>хозяйствующими субъектами, содержащи</w:t>
      </w:r>
      <w:r w:rsidR="00AD0148" w:rsidRPr="00435227">
        <w:rPr>
          <w:szCs w:val="28"/>
        </w:rPr>
        <w:t>е</w:t>
      </w:r>
      <w:r w:rsidR="00C7547B" w:rsidRPr="00435227">
        <w:rPr>
          <w:szCs w:val="28"/>
        </w:rPr>
        <w:t xml:space="preserve"> элементы недобросовестной конкуренции, предусмотренные статьей 14.33 КоАП РФ;  </w:t>
      </w:r>
      <w:r w:rsidR="00AC663F" w:rsidRPr="00435227">
        <w:rPr>
          <w:szCs w:val="28"/>
        </w:rPr>
        <w:t>н</w:t>
      </w:r>
      <w:r w:rsidR="00AC663F" w:rsidRPr="00435227">
        <w:rPr>
          <w:rStyle w:val="blk"/>
        </w:rPr>
        <w:t xml:space="preserve">арушение субъектом естественной монополии правил недискриминационного доступа или установленного порядка технологического присоединения к </w:t>
      </w:r>
      <w:r w:rsidR="00AC663F" w:rsidRPr="00435227">
        <w:rPr>
          <w:rStyle w:val="blk"/>
          <w:szCs w:val="28"/>
        </w:rPr>
        <w:t>газораспределительным сетям</w:t>
      </w:r>
      <w:r w:rsidR="00FC60CA" w:rsidRPr="00435227">
        <w:rPr>
          <w:rStyle w:val="blk"/>
          <w:szCs w:val="28"/>
        </w:rPr>
        <w:t xml:space="preserve">, ответственность за которое предусмотрена статьей 9.21 КоАП РФ; </w:t>
      </w:r>
      <w:r w:rsidR="00FC60CA" w:rsidRPr="00435227">
        <w:rPr>
          <w:szCs w:val="28"/>
        </w:rPr>
        <w:t xml:space="preserve">нарушение законодательства о рекламе в силу статьи 14.3 КоАП РФ; </w:t>
      </w:r>
      <w:r w:rsidR="00AC663F" w:rsidRPr="00435227">
        <w:rPr>
          <w:szCs w:val="28"/>
        </w:rPr>
        <w:t>утверждение конкурсной документации, документации об аукционе</w:t>
      </w:r>
      <w:r w:rsidR="00AD0148" w:rsidRPr="00435227">
        <w:rPr>
          <w:szCs w:val="28"/>
        </w:rPr>
        <w:t xml:space="preserve"> </w:t>
      </w:r>
      <w:r w:rsidR="00AC663F" w:rsidRPr="00435227">
        <w:rPr>
          <w:szCs w:val="28"/>
        </w:rPr>
        <w:t>с нарушением требований, предусмотренных законодательством Российской Федерации о контрактной системе в сфере закупок (часть 4.2 статьи 7.30 КоАП РФ);  несоблюдение требований законодательства Российской Федерации о контрактной системе в сфере закупок товаров, работ, услуг для обеспечения</w:t>
      </w:r>
      <w:r w:rsidR="00AC663F" w:rsidRPr="00AC663F">
        <w:rPr>
          <w:szCs w:val="28"/>
        </w:rPr>
        <w:t xml:space="preserve"> государственных и муниципальных нужд при принятии решения о способе и об условиях определения поставщика (подрядчика, исполнителя) (части 1 и 2 статьи 7.29 КоАП РФ);</w:t>
      </w:r>
      <w:r w:rsidR="00AC663F">
        <w:rPr>
          <w:szCs w:val="28"/>
        </w:rPr>
        <w:t xml:space="preserve"> </w:t>
      </w:r>
      <w:r w:rsidR="00AC663F" w:rsidRPr="00AC663F">
        <w:rPr>
          <w:szCs w:val="28"/>
        </w:rPr>
        <w:t xml:space="preserve"> отклонение заявки на участие в конкурсе, отказ в допуске к участию в аукционе</w:t>
      </w:r>
      <w:r w:rsidR="00AC663F">
        <w:rPr>
          <w:szCs w:val="28"/>
        </w:rPr>
        <w:t xml:space="preserve">; </w:t>
      </w:r>
      <w:r w:rsidR="00AC663F" w:rsidRPr="00AC663F">
        <w:rPr>
          <w:szCs w:val="28"/>
        </w:rPr>
        <w:t xml:space="preserve"> 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 (части 1.1 – 1.4 статьи 7.30 КоАП РФ);</w:t>
      </w:r>
      <w:r w:rsidR="00AC663F">
        <w:rPr>
          <w:szCs w:val="28"/>
        </w:rPr>
        <w:t xml:space="preserve"> </w:t>
      </w:r>
      <w:r w:rsidR="00AC663F" w:rsidRPr="00AC663F">
        <w:rPr>
          <w:snapToGrid w:val="0"/>
          <w:szCs w:val="28"/>
        </w:rPr>
        <w:t xml:space="preserve">- нарушение порядка ведения реестра контрактов, заключенных заказчиками </w:t>
      </w:r>
      <w:r w:rsidR="00AC663F" w:rsidRPr="00AC663F">
        <w:rPr>
          <w:szCs w:val="28"/>
        </w:rPr>
        <w:t xml:space="preserve"> (часть 2 </w:t>
      </w:r>
      <w:r w:rsidR="00AC663F" w:rsidRPr="00435227">
        <w:rPr>
          <w:szCs w:val="28"/>
        </w:rPr>
        <w:t>статьи 7.31 КоАП РФ).</w:t>
      </w:r>
    </w:p>
    <w:p w:rsidR="00272BFA" w:rsidRPr="00272BFA" w:rsidRDefault="00272BFA" w:rsidP="00272BFA">
      <w:pPr>
        <w:pStyle w:val="ac"/>
        <w:spacing w:after="0"/>
        <w:ind w:left="0" w:right="-58" w:firstLine="851"/>
        <w:jc w:val="both"/>
        <w:rPr>
          <w:color w:val="000000"/>
          <w:szCs w:val="28"/>
        </w:rPr>
      </w:pPr>
      <w:r w:rsidRPr="00272BFA">
        <w:rPr>
          <w:szCs w:val="28"/>
        </w:rPr>
        <w:lastRenderedPageBreak/>
        <w:t xml:space="preserve">Так, Комиссией УФАС по КЧР было вынесено решение по делу по жалобе </w:t>
      </w:r>
      <w:r>
        <w:rPr>
          <w:color w:val="000000"/>
          <w:szCs w:val="28"/>
        </w:rPr>
        <w:t>заявителя</w:t>
      </w:r>
      <w:r w:rsidRPr="00272BFA">
        <w:rPr>
          <w:color w:val="000000"/>
          <w:szCs w:val="28"/>
        </w:rPr>
        <w:t xml:space="preserve"> на неправомерные действия Управления имущественных и </w:t>
      </w:r>
      <w:r w:rsidRPr="00272BFA">
        <w:rPr>
          <w:szCs w:val="28"/>
        </w:rPr>
        <w:t xml:space="preserve">земельных отношений, архитектуры и сельскохозяйственного землепользования администрации Прикубанского муниципального района </w:t>
      </w:r>
      <w:r w:rsidRPr="00272BFA">
        <w:rPr>
          <w:color w:val="000000"/>
          <w:szCs w:val="28"/>
        </w:rPr>
        <w:t xml:space="preserve">при проведении открытого аукциона на право заключения договоров аренды земельных участков </w:t>
      </w:r>
    </w:p>
    <w:p w:rsidR="00272BFA" w:rsidRPr="00272BFA" w:rsidRDefault="00272BFA" w:rsidP="00272BFA">
      <w:pPr>
        <w:ind w:right="-58" w:firstLine="851"/>
        <w:jc w:val="both"/>
        <w:rPr>
          <w:color w:val="000000"/>
          <w:szCs w:val="28"/>
        </w:rPr>
      </w:pPr>
      <w:r w:rsidRPr="00272BFA">
        <w:rPr>
          <w:color w:val="000000"/>
          <w:szCs w:val="28"/>
        </w:rPr>
        <w:t xml:space="preserve">   Организация и проведение торгов (конкурсов, аукционов) по продаже земельных участков, а также права на заключение договоров аренды таких земельных участков осуществляются в соответствии со ст. 39.11 и 39.12 ЗК РФ.</w:t>
      </w:r>
    </w:p>
    <w:p w:rsidR="00272BFA" w:rsidRPr="00272BFA" w:rsidRDefault="00272BFA" w:rsidP="00272BFA">
      <w:pPr>
        <w:ind w:right="-58" w:firstLine="851"/>
        <w:jc w:val="both"/>
        <w:rPr>
          <w:color w:val="FF0000"/>
          <w:szCs w:val="28"/>
        </w:rPr>
      </w:pPr>
      <w:r w:rsidRPr="00272BFA">
        <w:rPr>
          <w:color w:val="000000"/>
          <w:szCs w:val="28"/>
        </w:rPr>
        <w:t xml:space="preserve">   Пунктом 1 статьи 39.11 ЗК РФ предусмотрено, что решение о проведении аукциона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 или юридических лиц.</w:t>
      </w:r>
    </w:p>
    <w:p w:rsidR="00272BFA" w:rsidRPr="00272BFA" w:rsidRDefault="00272BFA" w:rsidP="00272BFA">
      <w:pPr>
        <w:tabs>
          <w:tab w:val="left" w:pos="993"/>
        </w:tabs>
        <w:ind w:right="-58" w:firstLine="851"/>
        <w:jc w:val="both"/>
        <w:rPr>
          <w:szCs w:val="28"/>
        </w:rPr>
      </w:pPr>
      <w:r w:rsidRPr="00272BFA">
        <w:rPr>
          <w:szCs w:val="28"/>
        </w:rPr>
        <w:t>Проведенный УФАС по КЧР анализ размещенной на официальном сайте для размещения информации о проведении торгов показал, что необходимая информация об аукционе действительно отсутствует.</w:t>
      </w:r>
    </w:p>
    <w:p w:rsidR="00272BFA" w:rsidRPr="00272BFA" w:rsidRDefault="00272BFA" w:rsidP="00272BFA">
      <w:pPr>
        <w:tabs>
          <w:tab w:val="left" w:pos="993"/>
        </w:tabs>
        <w:ind w:right="-58" w:firstLine="851"/>
        <w:jc w:val="both"/>
        <w:rPr>
          <w:szCs w:val="28"/>
        </w:rPr>
      </w:pPr>
      <w:r w:rsidRPr="00272BFA">
        <w:rPr>
          <w:szCs w:val="28"/>
        </w:rPr>
        <w:t xml:space="preserve">В составе извещения о проведении аукциона в нарушение пункта 7 части 21 статьи 39.11 Земельного кодекса РФ отсутствует форма заявки, которая подлежит представлению участниками аукциона. </w:t>
      </w:r>
    </w:p>
    <w:p w:rsidR="00272BFA" w:rsidRPr="00272BFA" w:rsidRDefault="00272BFA" w:rsidP="00272BFA">
      <w:pPr>
        <w:tabs>
          <w:tab w:val="left" w:pos="993"/>
        </w:tabs>
        <w:ind w:right="-58" w:firstLine="851"/>
        <w:jc w:val="both"/>
        <w:rPr>
          <w:szCs w:val="28"/>
        </w:rPr>
      </w:pPr>
      <w:r w:rsidRPr="00272BFA">
        <w:rPr>
          <w:szCs w:val="28"/>
        </w:rPr>
        <w:t xml:space="preserve">Формой заявки должны быть установлены единые требования для всех потенциальных участников аукциона и при ее отсутствии последние не обладают информацией в какой форме и какие именно данные необходимо включать в заявку, что бы она была обоснована и допущена. В подобной ситуации могут создаваться условия, которые способствуют сокращению числа потенциальных участников, желающих принять участие в аукционе.  </w:t>
      </w:r>
    </w:p>
    <w:p w:rsidR="00272BFA" w:rsidRPr="00272BFA" w:rsidRDefault="00272BFA" w:rsidP="00272BFA">
      <w:pPr>
        <w:tabs>
          <w:tab w:val="left" w:pos="993"/>
        </w:tabs>
        <w:ind w:right="-58" w:firstLine="851"/>
        <w:jc w:val="both"/>
        <w:rPr>
          <w:color w:val="000000"/>
          <w:szCs w:val="28"/>
        </w:rPr>
      </w:pPr>
      <w:r w:rsidRPr="00272BFA">
        <w:rPr>
          <w:color w:val="000000"/>
          <w:szCs w:val="28"/>
        </w:rPr>
        <w:t>Таким образом, Комиссия Карачаево-Черкесского УФАС России установила, что действия администрации при проведении открытого аукциона по продаже права на заключение договора аренды земельных участков противоречат нормам ч. 1 статьи 17 Федерального закона от 26.07.2006 года №135-ФЗ «О защите конкуренции».</w:t>
      </w:r>
    </w:p>
    <w:p w:rsidR="00272BFA" w:rsidRPr="00272BFA" w:rsidRDefault="00272BFA" w:rsidP="00272BFA">
      <w:pPr>
        <w:ind w:firstLine="851"/>
        <w:jc w:val="both"/>
        <w:rPr>
          <w:rFonts w:ascii="Arial" w:hAnsi="Arial" w:cs="Arial"/>
          <w:color w:val="000000"/>
          <w:szCs w:val="28"/>
        </w:rPr>
      </w:pPr>
      <w:r w:rsidRPr="00272BFA">
        <w:rPr>
          <w:bCs/>
          <w:szCs w:val="28"/>
        </w:rPr>
        <w:t>За указанное нарушение предусмотрена административная  ответственность в соответствии с  ч.7 ст. 7.32.3КоАП РФ</w:t>
      </w:r>
      <w:r w:rsidRPr="00272BFA">
        <w:rPr>
          <w:szCs w:val="28"/>
        </w:rPr>
        <w:t xml:space="preserve">, в соответствии с которой </w:t>
      </w:r>
      <w:r w:rsidRPr="00272BFA">
        <w:rPr>
          <w:iCs/>
          <w:szCs w:val="28"/>
        </w:rPr>
        <w:t xml:space="preserve"> </w:t>
      </w:r>
      <w:r w:rsidRPr="00272BFA">
        <w:rPr>
          <w:i/>
          <w:iCs/>
          <w:szCs w:val="28"/>
        </w:rPr>
        <w:t xml:space="preserve"> </w:t>
      </w:r>
      <w:r w:rsidRPr="00272BFA">
        <w:rPr>
          <w:color w:val="000000"/>
          <w:szCs w:val="28"/>
        </w:rPr>
        <w:t xml:space="preserve">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 - </w:t>
      </w:r>
      <w:bookmarkStart w:id="0" w:name="dst5256"/>
      <w:bookmarkEnd w:id="0"/>
      <w:r w:rsidRPr="00272BFA">
        <w:rPr>
          <w:color w:val="000000"/>
          <w:szCs w:val="28"/>
        </w:rP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272BFA" w:rsidRPr="00272BFA" w:rsidRDefault="00272BFA" w:rsidP="00272BF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2BFA">
        <w:rPr>
          <w:szCs w:val="28"/>
        </w:rPr>
        <w:t>Объективная сторона административного правонарушения заключается в несоблюдении предусмотренных законодательством РФ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услуг.</w:t>
      </w:r>
    </w:p>
    <w:p w:rsidR="00272BFA" w:rsidRPr="00272BFA" w:rsidRDefault="00272BFA" w:rsidP="00272BFA">
      <w:pPr>
        <w:tabs>
          <w:tab w:val="left" w:pos="-142"/>
          <w:tab w:val="left" w:pos="142"/>
          <w:tab w:val="left" w:pos="10632"/>
        </w:tabs>
        <w:ind w:firstLine="851"/>
        <w:jc w:val="both"/>
        <w:rPr>
          <w:szCs w:val="28"/>
        </w:rPr>
      </w:pPr>
      <w:r w:rsidRPr="00272BFA">
        <w:rPr>
          <w:szCs w:val="28"/>
        </w:rPr>
        <w:t xml:space="preserve">На основании вышеизложенного, руководствуясь статьями 23.48, 29.9, 29.10, 4.1, 4.2, 4.3  КоАП РФ, а также учитывая  характер совершенного административного </w:t>
      </w:r>
      <w:r w:rsidRPr="00272BFA">
        <w:rPr>
          <w:szCs w:val="28"/>
        </w:rPr>
        <w:lastRenderedPageBreak/>
        <w:t>правонарушения, обстоятельства, смягчающие административную ответственность и обстоятельства, отягчающие административную ответственность</w:t>
      </w:r>
      <w:r>
        <w:rPr>
          <w:szCs w:val="28"/>
        </w:rPr>
        <w:t xml:space="preserve"> должностное лицо </w:t>
      </w:r>
      <w:r w:rsidRPr="00272BFA">
        <w:rPr>
          <w:szCs w:val="28"/>
        </w:rPr>
        <w:t>администрации признано виновным в совершении административного правонарушения, предусмотренного ч. 7 ст. 7.32.3 КоАП РФ и ему назначено административное наказание в виде административного штрафа.</w:t>
      </w:r>
    </w:p>
    <w:p w:rsidR="008D2FEA" w:rsidRPr="00435227" w:rsidRDefault="00AC663F" w:rsidP="00272BFA">
      <w:pPr>
        <w:pStyle w:val="a4"/>
        <w:widowControl w:val="0"/>
      </w:pPr>
      <w:r w:rsidRPr="00272BFA">
        <w:t>В</w:t>
      </w:r>
      <w:r w:rsidR="008D2FEA" w:rsidRPr="00272BFA">
        <w:t xml:space="preserve"> указанны</w:t>
      </w:r>
      <w:r w:rsidR="00CC7A3D" w:rsidRPr="00272BFA">
        <w:t>й</w:t>
      </w:r>
      <w:r w:rsidR="008D2FEA" w:rsidRPr="00272BFA">
        <w:t xml:space="preserve"> период с целью защиты вынесенных ненормативных правовых</w:t>
      </w:r>
      <w:r w:rsidR="008D2FEA" w:rsidRPr="00435227">
        <w:t xml:space="preserve"> актов, как то решение, предписание, предупреждение, постановление Управление участвовало </w:t>
      </w:r>
      <w:r w:rsidR="008D2FEA" w:rsidRPr="0093357C">
        <w:rPr>
          <w:color w:val="000000" w:themeColor="text1"/>
        </w:rPr>
        <w:t xml:space="preserve">в </w:t>
      </w:r>
      <w:r w:rsidR="00E14C0D" w:rsidRPr="0093357C">
        <w:rPr>
          <w:color w:val="000000" w:themeColor="text1"/>
        </w:rPr>
        <w:t>1</w:t>
      </w:r>
      <w:r w:rsidR="0093357C" w:rsidRPr="0093357C">
        <w:rPr>
          <w:color w:val="000000" w:themeColor="text1"/>
        </w:rPr>
        <w:t>31</w:t>
      </w:r>
      <w:r w:rsidR="008D2FEA" w:rsidRPr="0093357C">
        <w:rPr>
          <w:color w:val="000000" w:themeColor="text1"/>
        </w:rPr>
        <w:t xml:space="preserve">  </w:t>
      </w:r>
      <w:r w:rsidR="008D2FEA" w:rsidRPr="00435227">
        <w:t xml:space="preserve">судебных заседаниях. </w:t>
      </w:r>
    </w:p>
    <w:p w:rsidR="00E14C0D" w:rsidRPr="00435227" w:rsidRDefault="00E14C0D" w:rsidP="008D2FEA">
      <w:pPr>
        <w:pStyle w:val="a4"/>
        <w:widowControl w:val="0"/>
      </w:pPr>
      <w:r w:rsidRPr="00435227">
        <w:t>В производстве суд</w:t>
      </w:r>
      <w:r w:rsidR="00AD0148" w:rsidRPr="00435227">
        <w:t xml:space="preserve">ов </w:t>
      </w:r>
      <w:r w:rsidRPr="00435227">
        <w:t xml:space="preserve">находятся </w:t>
      </w:r>
      <w:r w:rsidR="0093357C" w:rsidRPr="0093357C">
        <w:rPr>
          <w:color w:val="000000" w:themeColor="text1"/>
        </w:rPr>
        <w:t>25</w:t>
      </w:r>
      <w:r w:rsidRPr="00435227">
        <w:t xml:space="preserve"> дел</w:t>
      </w:r>
      <w:r w:rsidR="00544A77" w:rsidRPr="00435227">
        <w:t xml:space="preserve"> </w:t>
      </w:r>
      <w:r w:rsidR="00AD0148" w:rsidRPr="00435227">
        <w:t>об</w:t>
      </w:r>
      <w:r w:rsidR="00544A77" w:rsidRPr="00435227">
        <w:t xml:space="preserve"> обжаловани</w:t>
      </w:r>
      <w:r w:rsidR="00AD0148" w:rsidRPr="00435227">
        <w:t>и</w:t>
      </w:r>
      <w:r w:rsidR="00544A77" w:rsidRPr="00435227">
        <w:t xml:space="preserve"> ненормативных правовых актов УФАС по КЧР.</w:t>
      </w:r>
      <w:r w:rsidRPr="00435227">
        <w:t xml:space="preserve"> </w:t>
      </w:r>
    </w:p>
    <w:p w:rsidR="00F82F08" w:rsidRDefault="00FC60CA" w:rsidP="008D2FEA">
      <w:pPr>
        <w:ind w:firstLine="708"/>
        <w:jc w:val="both"/>
        <w:rPr>
          <w:szCs w:val="28"/>
        </w:rPr>
      </w:pPr>
      <w:r w:rsidRPr="00435227">
        <w:rPr>
          <w:szCs w:val="28"/>
        </w:rPr>
        <w:t>Практика судебных разбирательств показывает, что Управление действует в</w:t>
      </w:r>
      <w:r w:rsidRPr="00FC60CA">
        <w:rPr>
          <w:szCs w:val="28"/>
        </w:rPr>
        <w:t xml:space="preserve"> рамках закона и  в пределах предоставленных ему полномочий</w:t>
      </w:r>
      <w:r>
        <w:rPr>
          <w:szCs w:val="28"/>
        </w:rPr>
        <w:t xml:space="preserve">. </w:t>
      </w:r>
    </w:p>
    <w:p w:rsidR="009A0E1F" w:rsidRPr="00FE201F" w:rsidRDefault="009A0E1F" w:rsidP="00FE201F">
      <w:pPr>
        <w:pStyle w:val="a4"/>
        <w:widowControl w:val="0"/>
        <w:rPr>
          <w:color w:val="000000" w:themeColor="text1"/>
        </w:rPr>
      </w:pPr>
      <w:r w:rsidRPr="00FE201F">
        <w:rPr>
          <w:color w:val="000000" w:themeColor="text1"/>
        </w:rPr>
        <w:t>В ходе настоящих публичных слушаний я хочу вкратце затронуть вопросы, касающиеся применения в деятельности органов власти всех уровней, органов местного самоуправления, хозяйствующих субъектов антимонопольного комплайнса.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Отечественная правовая культура в области антимонопольного регулирования достигла уровня, позволяющего приступить к решению вполне современных, по мировым меркам, задач.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Вместе с тем для внедрения антимонопольного комплаенса, как и для любого нового "механизма", требуется время для формирования терминологического аппарата, создания правовой базы, формирования правоприменительной практики.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 связи с этим, правильнее говорить не просто о внедрении комплаенса, а о создании в ближайшем будущем нового правового института – антимонопольного комплаенса, т.е. системы взаимосвязанных правовых норм.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Примером успешной имплементации в российскую антимонопольную практику можно назвать внедрение института смягчения административной ответственности, успешно работающего при рассмотрении дел об антиконкурентных соглашениях.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bookmarkStart w:id="1" w:name="2"/>
      <w:bookmarkEnd w:id="1"/>
      <w:r w:rsidRPr="00FE201F">
        <w:rPr>
          <w:color w:val="000000" w:themeColor="text1"/>
          <w:szCs w:val="28"/>
        </w:rPr>
        <w:t xml:space="preserve">На сегодняшний день можно констатировать – внедрение института антимонопольного комплаенса находится на ранней стадии развития. </w:t>
      </w:r>
    </w:p>
    <w:p w:rsidR="009A0E1F" w:rsidRPr="00FE201F" w:rsidRDefault="009A0E1F" w:rsidP="00FE201F">
      <w:pPr>
        <w:shd w:val="clear" w:color="auto" w:fill="FFFFFF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 </w:t>
      </w:r>
      <w:r w:rsidRPr="00FE201F">
        <w:rPr>
          <w:color w:val="000000" w:themeColor="text1"/>
          <w:szCs w:val="28"/>
        </w:rPr>
        <w:tab/>
        <w:t xml:space="preserve">Законопроектом "О внесении изменений в Федеральный закон "О защите конкуренции" и Кодекс Российской Федерации об административных правонарушениях", разработанным ФАС России, предложено внесение понятия "антимонопольный комплаенс" в следующей редакции: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"антимонопольный комплаенс – совокупность правовых и организационных мер, предусмотренных внутренним актом и направленным на соблюдение требований антимонопольного законодательства и предупреждение его нарушения".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Антимонопольный комплаенс направлен на минимизацию риска нарушения антимонопольного законодательства".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На современном этапе развития российской рыночной экономики можно констатировать, что уже сформировалось и успешно применяется антимонопольное законодательство, отвечающее общемировым и национальным стандартам. Сложилась обширная правоприменительная и судебная практика, а также существует масса разъяснений антимонопольного органа и высших судебных инстанций по вопросам применения антимонопольного законодательства.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lastRenderedPageBreak/>
        <w:t xml:space="preserve">Безусловно, особенно в условиях развивающейся экономики, требуется постоянное совершенствование законодательства и правоприменения, но на данном этапе развития становится необходимым привитие в обществе идеи культуры конкуренции.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Таким образом, одна из составляющих создания в России института антимонопольного комплаенса – это развитие культуры конкуренции. И основным драйвером такого развития, с одной стороны, являются акты Правительство России и ФАС России, с другой стороны – само бизнес-сообщество.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bookmarkStart w:id="2" w:name="4"/>
      <w:bookmarkEnd w:id="2"/>
      <w:r w:rsidRPr="00FE201F">
        <w:rPr>
          <w:color w:val="000000" w:themeColor="text1"/>
          <w:szCs w:val="28"/>
        </w:rPr>
        <w:t xml:space="preserve">Так, ФАС России принята Стратегия развития конкуренции и антимонопольного регулирования в Российской Федерации на период 2013 – 2024 гг.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>В п. 2.1.1 Стратегии  предусмотрена разработка и внедрение на законодательном уровне нормы, стимулирующей внедрение систем комплаенса среди хозяйствующих субъектов - участников товарных рынков</w:t>
      </w:r>
      <w:bookmarkStart w:id="3" w:name="_ftnref3"/>
      <w:r w:rsidRPr="00FE201F">
        <w:rPr>
          <w:color w:val="000000" w:themeColor="text1"/>
          <w:szCs w:val="28"/>
        </w:rPr>
        <w:fldChar w:fldCharType="begin"/>
      </w:r>
      <w:r w:rsidRPr="00FE201F">
        <w:rPr>
          <w:color w:val="000000" w:themeColor="text1"/>
          <w:szCs w:val="28"/>
        </w:rPr>
        <w:instrText xml:space="preserve"> HYPERLINK "https://urfac.ru/?p=170" \l "_ftn3" \o "" </w:instrText>
      </w:r>
      <w:r w:rsidRPr="00FE201F">
        <w:rPr>
          <w:color w:val="000000" w:themeColor="text1"/>
          <w:szCs w:val="28"/>
        </w:rPr>
        <w:fldChar w:fldCharType="separate"/>
      </w:r>
      <w:r w:rsidRPr="00FE201F">
        <w:rPr>
          <w:rStyle w:val="a3"/>
          <w:color w:val="000000" w:themeColor="text1"/>
          <w:szCs w:val="28"/>
        </w:rPr>
        <w:t>[3]</w:t>
      </w:r>
      <w:r w:rsidRPr="00FE201F">
        <w:rPr>
          <w:color w:val="000000" w:themeColor="text1"/>
          <w:szCs w:val="28"/>
        </w:rPr>
        <w:fldChar w:fldCharType="end"/>
      </w:r>
      <w:bookmarkEnd w:id="3"/>
      <w:r w:rsidRPr="00FE201F">
        <w:rPr>
          <w:color w:val="000000" w:themeColor="text1"/>
          <w:szCs w:val="28"/>
        </w:rPr>
        <w:t xml:space="preserve">. </w:t>
      </w:r>
    </w:p>
    <w:p w:rsidR="009A0E1F" w:rsidRPr="00FE201F" w:rsidRDefault="009A0E1F" w:rsidP="00FE201F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>Более того, Указом Президента РФ от 21 декабря 2017 г. N 618 "Об основных направлениях государственной политики по развитию конкуренции" определено в качестве основополагающих принципов государственной политики по развитию конкуренции "стимулирование хозяйствующих субъектов, внедряющих систему внутреннего обеспечения соответствия требованиям антимонопольного законодательства"</w:t>
      </w:r>
      <w:bookmarkStart w:id="4" w:name="_ftnref4"/>
      <w:r w:rsidRPr="00FE201F">
        <w:rPr>
          <w:color w:val="000000" w:themeColor="text1"/>
          <w:szCs w:val="28"/>
        </w:rPr>
        <w:fldChar w:fldCharType="begin"/>
      </w:r>
      <w:r w:rsidRPr="00FE201F">
        <w:rPr>
          <w:color w:val="000000" w:themeColor="text1"/>
          <w:szCs w:val="28"/>
        </w:rPr>
        <w:instrText xml:space="preserve"> HYPERLINK "https://urfac.ru/?p=170" \l "_ftn4" \o "" </w:instrText>
      </w:r>
      <w:r w:rsidRPr="00FE201F">
        <w:rPr>
          <w:color w:val="000000" w:themeColor="text1"/>
          <w:szCs w:val="28"/>
        </w:rPr>
        <w:fldChar w:fldCharType="separate"/>
      </w:r>
      <w:r w:rsidRPr="00FE201F">
        <w:rPr>
          <w:rStyle w:val="a3"/>
          <w:color w:val="000000" w:themeColor="text1"/>
          <w:szCs w:val="28"/>
        </w:rPr>
        <w:t>[4]</w:t>
      </w:r>
      <w:r w:rsidRPr="00FE201F">
        <w:rPr>
          <w:color w:val="000000" w:themeColor="text1"/>
          <w:szCs w:val="28"/>
        </w:rPr>
        <w:fldChar w:fldCharType="end"/>
      </w:r>
      <w:bookmarkEnd w:id="4"/>
      <w:r w:rsidRPr="00FE201F">
        <w:rPr>
          <w:color w:val="000000" w:themeColor="text1"/>
          <w:szCs w:val="28"/>
        </w:rPr>
        <w:t xml:space="preserve">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>При этом Национальным планом развития конкуренции в Российской Федерации на 2018 – 2020 годы, утвержденным тем же Указом Президента РФ, Правительству Российской Федерации до 1 марта 2019 г. поручено "принять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власти"</w:t>
      </w:r>
      <w:bookmarkStart w:id="5" w:name="_ftnref5"/>
      <w:r w:rsidRPr="00FE201F">
        <w:rPr>
          <w:color w:val="000000" w:themeColor="text1"/>
          <w:szCs w:val="28"/>
        </w:rPr>
        <w:fldChar w:fldCharType="begin"/>
      </w:r>
      <w:r w:rsidRPr="00FE201F">
        <w:rPr>
          <w:color w:val="000000" w:themeColor="text1"/>
          <w:szCs w:val="28"/>
        </w:rPr>
        <w:instrText xml:space="preserve"> HYPERLINK "https://urfac.ru/?p=170" \l "_ftn5" \o "" </w:instrText>
      </w:r>
      <w:r w:rsidRPr="00FE201F">
        <w:rPr>
          <w:color w:val="000000" w:themeColor="text1"/>
          <w:szCs w:val="28"/>
        </w:rPr>
        <w:fldChar w:fldCharType="separate"/>
      </w:r>
      <w:r w:rsidRPr="00FE201F">
        <w:rPr>
          <w:rStyle w:val="a3"/>
          <w:color w:val="000000" w:themeColor="text1"/>
          <w:szCs w:val="28"/>
        </w:rPr>
        <w:t>[5]</w:t>
      </w:r>
      <w:r w:rsidRPr="00FE201F">
        <w:rPr>
          <w:color w:val="000000" w:themeColor="text1"/>
          <w:szCs w:val="28"/>
        </w:rPr>
        <w:fldChar w:fldCharType="end"/>
      </w:r>
      <w:bookmarkEnd w:id="5"/>
      <w:r w:rsidRPr="00FE201F">
        <w:rPr>
          <w:color w:val="000000" w:themeColor="text1"/>
          <w:szCs w:val="28"/>
        </w:rPr>
        <w:t xml:space="preserve">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>Одной из таких мер, например, можно считать утверждение распоряжением Правительства Российской Федерации от 26.04.2017 N 795-р Методических рекомендаций по внедрению внутреннего контроля соблюдения антимонопольного законодательства, законодательства о государственном оборонном заказе и законодательства, регулирующего закупочную деятельность</w:t>
      </w:r>
      <w:bookmarkStart w:id="6" w:name="_ftnref6"/>
      <w:r w:rsidRPr="00FE201F">
        <w:rPr>
          <w:color w:val="000000" w:themeColor="text1"/>
          <w:szCs w:val="28"/>
        </w:rPr>
        <w:fldChar w:fldCharType="begin"/>
      </w:r>
      <w:r w:rsidRPr="00FE201F">
        <w:rPr>
          <w:color w:val="000000" w:themeColor="text1"/>
          <w:szCs w:val="28"/>
        </w:rPr>
        <w:instrText xml:space="preserve"> HYPERLINK "https://urfac.ru/?p=170" \l "_ftn6" \o "" </w:instrText>
      </w:r>
      <w:r w:rsidRPr="00FE201F">
        <w:rPr>
          <w:color w:val="000000" w:themeColor="text1"/>
          <w:szCs w:val="28"/>
        </w:rPr>
        <w:fldChar w:fldCharType="separate"/>
      </w:r>
      <w:r w:rsidRPr="00FE201F">
        <w:rPr>
          <w:rStyle w:val="a3"/>
          <w:color w:val="000000" w:themeColor="text1"/>
          <w:szCs w:val="28"/>
        </w:rPr>
        <w:t>[6]</w:t>
      </w:r>
      <w:r w:rsidRPr="00FE201F">
        <w:rPr>
          <w:color w:val="000000" w:themeColor="text1"/>
          <w:szCs w:val="28"/>
        </w:rPr>
        <w:fldChar w:fldCharType="end"/>
      </w:r>
      <w:bookmarkEnd w:id="6"/>
      <w:r w:rsidRPr="00FE201F">
        <w:rPr>
          <w:color w:val="000000" w:themeColor="text1"/>
          <w:szCs w:val="28"/>
        </w:rPr>
        <w:t xml:space="preserve">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Внедрение антимонопольного комплаенса до последнего времени имело лишь одну цель – предотвращение нарушений антимонопольного законодательства, а следовательно, снижение рисков быть привлеченным к ответственности за такое нарушение. Конечно, имеются здесь и репутационные бонусы, выражающиеся в публичном поощрении таких действий со стороны антимонопольного органа, но не более того.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Однако с 1 марта 2018 года появился и первый ощутимый плюс от внедрения систем антимонопольного комплаенса.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 соответствии с Постановлением Правительства РФ от 01.03.2018 N 213 утверждены критерии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Одним из критериев снижения степени риска по данному Постановлению является "функционирование у хозяйствующего субъекта в течение не менее одного </w:t>
      </w:r>
      <w:r w:rsidRPr="00FE201F">
        <w:rPr>
          <w:color w:val="000000" w:themeColor="text1"/>
          <w:szCs w:val="28"/>
        </w:rPr>
        <w:lastRenderedPageBreak/>
        <w:t>года на день принятия решения о присвоении категории риска системы правовых и организационных мер, направленных на соблюдение таким хозяйствующим субъектом требований антимонопольного законодательства Российской Федерации.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Таким образом, можно констатировать появление в России нормативно-правовой базы, определяющей место и роль антимонопольного комплаенса в системе мер по предупреждению нарушений антимонопольного законодательства, а также первый опыт внедрения таких систем в правовую культуру российского бизнеса. </w:t>
      </w:r>
    </w:p>
    <w:p w:rsidR="009A0E1F" w:rsidRPr="00435227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435227">
        <w:rPr>
          <w:color w:val="000000" w:themeColor="text1"/>
          <w:szCs w:val="28"/>
        </w:rPr>
        <w:t xml:space="preserve">Второй вопрос, который хотелось бы осветить в рамках настоящих обсуждений, – это классификация антимонопольного комплаенса.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Необходимость классификации антимонопольного комплаенса видится в сложности и многокомпонентности российского антимонопольного законодательства и смежных с ним отраслей.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 основу такой классификации положены различия в специфике общественных отношений, регулируемых антимонопольным и смежным с ним законодательством. В настоящее время контроль за такими правоотношениями возложен на крупнейший экономический макрорегулятор – ФАС России. Таким образом, классификация антимонопольного комплаенса возможна на основе регулируемых ФАС России сфер экономической деятельности.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Так, например, ФАС России в настоящее время осуществляет контроль: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за соблюдением антимонопольного законодательства (защита конкуренции);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осуществлением государственных закупок;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деятельностью естественных монополий;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антиконкурентными действиями органов власти;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распределением на конкурентной основе собственности, природных ресурсов (земля, недра, леса, биоресурсы и т.д.), прав;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соблюдением законодательства в сфере рекламы;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соблюдением законодательства о торговой деятельности;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осуществлением иностранных инвестиций (Закон N 57-ФЗ);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соблюдением законодательства в сфере гособоронзаказа;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– тарифным регулированием.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Соответственно, возникает вопрос: а каковы границы антимонопольного комплаенса? Что в него может входить?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Представляется, что в российских реалиях под антимонопольным комплаенсом можно понимать предупреждение от нарушений непосредственно не только антимонопольного законодательства, но и смежных с ним отраслей.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То есть под антимонопольным комплаенсом, в самом широком понимании, следует понимать такую систему, которая позволит эффективно оградить хозяйствующий субъект не только от нарушений антимонопольного, но и от нарушений иного, смежного законодательства, контроль за соблюдением которого возложен на ФАС России.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Классификация антимонопольного комплаенса, выделение отдельных самостоятельных "видов антимонопольного комплаенса" позволят в последующем каждому хозяйствующему субъекту определить объективно необходимый "объем разработки и внедрения антимонопольного комплаенса" индивидуально, исходя из его фактической деятельности.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lastRenderedPageBreak/>
        <w:t xml:space="preserve">Использование классификации позволит упорядочить этот этап и сделать его более прозрачным и понятным для заказчиков. </w:t>
      </w:r>
    </w:p>
    <w:p w:rsidR="009A0E1F" w:rsidRPr="00FE201F" w:rsidRDefault="009A0E1F" w:rsidP="00FE20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Можно выделить следующие виды антимонопольного комплаенса: 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10"/>
        <w:gridCol w:w="6126"/>
      </w:tblGrid>
      <w:tr w:rsidR="00FE201F" w:rsidRPr="00FE201F" w:rsidTr="00FE201F">
        <w:trPr>
          <w:tblHeader/>
        </w:trPr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bCs/>
                <w:color w:val="000000" w:themeColor="text1"/>
                <w:szCs w:val="28"/>
              </w:rPr>
            </w:pPr>
            <w:r w:rsidRPr="00FE201F">
              <w:rPr>
                <w:bCs/>
                <w:color w:val="000000" w:themeColor="text1"/>
                <w:szCs w:val="28"/>
              </w:rPr>
              <w:t xml:space="preserve">п/п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bCs/>
                <w:color w:val="000000" w:themeColor="text1"/>
                <w:szCs w:val="28"/>
              </w:rPr>
            </w:pPr>
            <w:r w:rsidRPr="00FE201F">
              <w:rPr>
                <w:bCs/>
                <w:color w:val="000000" w:themeColor="text1"/>
                <w:szCs w:val="28"/>
              </w:rPr>
              <w:t xml:space="preserve">Вид антимонопольного комплаенса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bCs/>
                <w:color w:val="000000" w:themeColor="text1"/>
                <w:szCs w:val="28"/>
              </w:rPr>
            </w:pPr>
            <w:r w:rsidRPr="00FE201F">
              <w:rPr>
                <w:bCs/>
                <w:color w:val="000000" w:themeColor="text1"/>
                <w:szCs w:val="28"/>
              </w:rPr>
              <w:t xml:space="preserve">Направлен на создание условий, позволяющих не допускать нарушения: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Злоупотребление доминирующим положением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регулируется статьей 10 Закона о защите конкуренции, направленной на недопущение  злоупотребления хозяйствующим субъектом своим доминирующим положением;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2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Антиконкурентные соглашения и согласованные действия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>регулируется Статьями 11, 16, и 17 Закона о защите конкуренции, где предусмотрены запреты на ограничивающие конкуренцию соглашения и согласованные действия хозяйствующих субъектов, так и органов влати.</w:t>
            </w:r>
          </w:p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3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Недобросовестная конкуренция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запреты на все формы недобросовестной конкуренции (ст. 14.1 – 14.8 Закона о защите конкуренции);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4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Ограничение конкуренции органами власти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запреты на ограничивающие конкуренцию акты и действия (бездействие) органов власти… (ст. 15 Закона о защите конкуренции);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5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Антимонопольные требования к торгам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связаны с особенностями заключения договоров с финансовыми организациями, порядком заключения договоров в отношении государственного и муниципального имущества (гл. 4 Закона о защите конкуренции)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Преференции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связаны с порядком предоставления государственной или муниципальной преференции (ст. 20 Закона о защите конкуренции)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7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Иностранные инвестиции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связаны с порядком осуществления иностранных инвестиций (Федеральный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от 29.04.2008 N 57-ФЗ);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8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Экономическая концентрация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связаны с порядком государственным контролем за экономической концентрацией (гл. 7 Закона о защите конкуренции);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lastRenderedPageBreak/>
              <w:t xml:space="preserve">9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Требования конкурентных процедур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требования к проведению и участию в конкурентных процедурах, установленных Законами N 44-ФЗ (О гос закупках) и N 223-ФЗ  (О закупках отдельными видами юридических лиц), а также иного отраслевого законодательства (например, порядок государственного и муниципального имущества установлен в Федеральном законе от 21.12.2001 N 178-ФЗ "О приватизации государственного и муниципального имущества");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10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Реклама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требования к рекламе, установленные Федеральным законом "О рекламе" от 13.03.2006 N 38-ФЗ;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11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Гособоронзаказ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законодательство в сфере гособоронзаказа регулирующееся Федеральным законом "О государственном оборонном заказе" от 29.12.2012 N 275-ФЗ;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12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Торговля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законодательство о торговой деятельности, регулирующееся Федеральным законом "Об основах государственного регулирования торговой деятельности в Российской Федерации" от 28.12.2009 N 381-ФЗ;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13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Естественные монополии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ограничений и обязательств, связанных с деятельностью естественных монополий, регулирующееся Федеральным законом "О естественных монополиях" от 17.08.1995 N 147-ФЗ, Федеральный закон "О защите конкуренции" от 26.07.2006 N 135-ФЗ; </w:t>
            </w:r>
          </w:p>
        </w:tc>
      </w:tr>
      <w:tr w:rsidR="00FE201F" w:rsidRPr="00FE201F" w:rsidTr="005F1E67">
        <w:tc>
          <w:tcPr>
            <w:tcW w:w="5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14 </w:t>
            </w:r>
          </w:p>
        </w:tc>
        <w:tc>
          <w:tcPr>
            <w:tcW w:w="3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Тарифное регулирование </w:t>
            </w:r>
          </w:p>
        </w:tc>
        <w:tc>
          <w:tcPr>
            <w:tcW w:w="54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0E1F" w:rsidRPr="00FE201F" w:rsidRDefault="009A0E1F" w:rsidP="00FE201F">
            <w:pPr>
              <w:rPr>
                <w:color w:val="000000" w:themeColor="text1"/>
                <w:szCs w:val="28"/>
              </w:rPr>
            </w:pPr>
            <w:r w:rsidRPr="00FE201F">
              <w:rPr>
                <w:color w:val="000000" w:themeColor="text1"/>
                <w:szCs w:val="28"/>
              </w:rPr>
              <w:t xml:space="preserve">– требования законодательства в сфере тарифного регулирования </w:t>
            </w:r>
          </w:p>
        </w:tc>
      </w:tr>
    </w:tbl>
    <w:p w:rsidR="009A0E1F" w:rsidRPr="00FE201F" w:rsidRDefault="009A0E1F" w:rsidP="00272BF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>Конечно, нужно понимать, что такое разделение достаточно условно.</w:t>
      </w:r>
    </w:p>
    <w:p w:rsidR="009A0E1F" w:rsidRPr="00FE201F" w:rsidRDefault="009A0E1F" w:rsidP="00FE201F">
      <w:pPr>
        <w:shd w:val="clear" w:color="auto" w:fill="FFFFFF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 </w:t>
      </w:r>
      <w:r w:rsidR="00272BFA">
        <w:rPr>
          <w:color w:val="000000" w:themeColor="text1"/>
          <w:szCs w:val="28"/>
        </w:rPr>
        <w:tab/>
      </w:r>
      <w:r w:rsidRPr="00FE201F">
        <w:rPr>
          <w:color w:val="000000" w:themeColor="text1"/>
          <w:szCs w:val="28"/>
        </w:rPr>
        <w:t xml:space="preserve">Но удобство такого подхода видится в возможности выбора хозяйствующим субъектом интересующих его и необходимых ему видов антимонопольного комплаенса, а также последующей разработке системы с учетом существующих потребностей. </w:t>
      </w:r>
    </w:p>
    <w:p w:rsidR="009A0E1F" w:rsidRPr="00FE201F" w:rsidRDefault="009A0E1F" w:rsidP="00272BF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 заключение хочу отметить, что развитие института антимонопольного комплаенса идет в настоящее время активными темпами. </w:t>
      </w:r>
    </w:p>
    <w:p w:rsidR="009A0E1F" w:rsidRPr="00FE201F" w:rsidRDefault="009A0E1F" w:rsidP="00272BF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И Очень важно на данном этапе правильно обозначить приоритеты и способы государственного стимулирования внедрения таких систем. Расширение круга </w:t>
      </w:r>
      <w:r w:rsidRPr="00FE201F">
        <w:rPr>
          <w:color w:val="000000" w:themeColor="text1"/>
          <w:szCs w:val="28"/>
        </w:rPr>
        <w:lastRenderedPageBreak/>
        <w:t xml:space="preserve">хозяйствующих субъектов, имеющих действующий антимонопольный комплаенс, а не фиктивное его внедрение– отличный способ повышения культуры конкуренции и снижения рисков нарушений антимонопольного законодательства. </w:t>
      </w:r>
    </w:p>
    <w:p w:rsidR="009A0E1F" w:rsidRPr="00FE201F" w:rsidRDefault="009A0E1F" w:rsidP="00272BFA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Выделение видов комплаенса – это попытка взглянуть на антимонопольный комплаенс более внимательно, не смешивая все возможные нарушения антимонопольного и смежного законодательства. При таком подходе каждый желающий внедрить у себя комплаенс сможет оценить степень рисков нарушений в той или иной сфере действия такого законодательства и подобрать для себя наиболее оптимальное решение по внедрению системы внутреннего обеспечения соответствия требованиям антимонопольного и смежного с ним законодательства. </w:t>
      </w:r>
    </w:p>
    <w:p w:rsidR="002C49FF" w:rsidRPr="00FE201F" w:rsidRDefault="00EC5C3E" w:rsidP="00FE201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E201F">
        <w:rPr>
          <w:color w:val="000000" w:themeColor="text1"/>
          <w:szCs w:val="28"/>
        </w:rPr>
        <w:t xml:space="preserve">    Резюмируя вышесказанное хочется отметить, что </w:t>
      </w:r>
      <w:r w:rsidR="00CF5BFA" w:rsidRPr="00FE201F">
        <w:rPr>
          <w:color w:val="000000" w:themeColor="text1"/>
          <w:szCs w:val="28"/>
        </w:rPr>
        <w:t>р</w:t>
      </w:r>
      <w:r w:rsidR="002C49FF" w:rsidRPr="00FE201F">
        <w:rPr>
          <w:color w:val="000000" w:themeColor="text1"/>
          <w:szCs w:val="28"/>
        </w:rPr>
        <w:t>азвитие правоприменительной практики и обеспечение эффективности гражданско-правовой ответственности за нарушения антимонопольного законодательства не только позволит восстановить права и законные интересы потерпевших лиц, но и стимулир</w:t>
      </w:r>
      <w:r w:rsidR="00EE0EC9" w:rsidRPr="00FE201F">
        <w:rPr>
          <w:color w:val="000000" w:themeColor="text1"/>
          <w:szCs w:val="28"/>
        </w:rPr>
        <w:t>ует</w:t>
      </w:r>
      <w:r w:rsidR="002C49FF" w:rsidRPr="00FE201F">
        <w:rPr>
          <w:color w:val="000000" w:themeColor="text1"/>
          <w:szCs w:val="28"/>
        </w:rPr>
        <w:t xml:space="preserve"> правомерное поведение хозяйствующих субъектов и органов власти, </w:t>
      </w:r>
      <w:r w:rsidR="00EE0EC9" w:rsidRPr="00FE201F">
        <w:rPr>
          <w:color w:val="000000" w:themeColor="text1"/>
          <w:szCs w:val="28"/>
        </w:rPr>
        <w:t>является сдерживающим фактором при  совершении</w:t>
      </w:r>
      <w:r w:rsidR="002C49FF" w:rsidRPr="00FE201F">
        <w:rPr>
          <w:color w:val="000000" w:themeColor="text1"/>
          <w:szCs w:val="28"/>
        </w:rPr>
        <w:t xml:space="preserve"> антиконкурентн</w:t>
      </w:r>
      <w:r w:rsidR="00EE0EC9" w:rsidRPr="00FE201F">
        <w:rPr>
          <w:color w:val="000000" w:themeColor="text1"/>
          <w:szCs w:val="28"/>
        </w:rPr>
        <w:t>ых действий</w:t>
      </w:r>
      <w:r w:rsidR="002C49FF" w:rsidRPr="00FE201F">
        <w:rPr>
          <w:color w:val="000000" w:themeColor="text1"/>
          <w:szCs w:val="28"/>
        </w:rPr>
        <w:t xml:space="preserve"> и недобросовестной конкуренции.</w:t>
      </w:r>
    </w:p>
    <w:p w:rsidR="002C49FF" w:rsidRPr="00FE201F" w:rsidRDefault="002C49FF" w:rsidP="00FE201F">
      <w:pPr>
        <w:ind w:firstLine="709"/>
        <w:jc w:val="both"/>
        <w:rPr>
          <w:b/>
          <w:color w:val="000000" w:themeColor="text1"/>
          <w:szCs w:val="28"/>
        </w:rPr>
      </w:pPr>
    </w:p>
    <w:p w:rsidR="000257C4" w:rsidRPr="000257C4" w:rsidRDefault="000257C4" w:rsidP="000257C4">
      <w:pPr>
        <w:rPr>
          <w:color w:val="000000" w:themeColor="text1"/>
        </w:rPr>
      </w:pPr>
      <w:r w:rsidRPr="000257C4">
        <w:rPr>
          <w:color w:val="000000" w:themeColor="text1"/>
        </w:rPr>
        <w:t>Главный федеральный инспектор УФАС по КЧР И. Матакаев.</w:t>
      </w:r>
    </w:p>
    <w:p w:rsidR="00AC2286" w:rsidRPr="00FE201F" w:rsidRDefault="00AC2286" w:rsidP="00FE201F">
      <w:pPr>
        <w:rPr>
          <w:color w:val="000000" w:themeColor="text1"/>
        </w:rPr>
      </w:pPr>
      <w:bookmarkStart w:id="7" w:name="_GoBack"/>
      <w:bookmarkEnd w:id="7"/>
    </w:p>
    <w:sectPr w:rsidR="00AC2286" w:rsidRPr="00FE201F" w:rsidSect="00AA555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DC" w:rsidRDefault="00AF50DC" w:rsidP="002C49FF">
      <w:r>
        <w:separator/>
      </w:r>
    </w:p>
  </w:endnote>
  <w:endnote w:type="continuationSeparator" w:id="0">
    <w:p w:rsidR="00AF50DC" w:rsidRDefault="00AF50DC" w:rsidP="002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DC" w:rsidRDefault="00AF50DC" w:rsidP="002C49FF">
      <w:r>
        <w:separator/>
      </w:r>
    </w:p>
  </w:footnote>
  <w:footnote w:type="continuationSeparator" w:id="0">
    <w:p w:rsidR="00AF50DC" w:rsidRDefault="00AF50DC" w:rsidP="002C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0FA5"/>
    <w:multiLevelType w:val="hybridMultilevel"/>
    <w:tmpl w:val="1E447FE2"/>
    <w:lvl w:ilvl="0" w:tplc="5D68F3C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84B2E"/>
    <w:multiLevelType w:val="hybridMultilevel"/>
    <w:tmpl w:val="8BA4B544"/>
    <w:lvl w:ilvl="0" w:tplc="7EC84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A"/>
    <w:rsid w:val="00023C21"/>
    <w:rsid w:val="000257C4"/>
    <w:rsid w:val="000A0FFE"/>
    <w:rsid w:val="000A5C96"/>
    <w:rsid w:val="000E6CF6"/>
    <w:rsid w:val="00115A5D"/>
    <w:rsid w:val="00117916"/>
    <w:rsid w:val="0016529A"/>
    <w:rsid w:val="001E6046"/>
    <w:rsid w:val="00223E98"/>
    <w:rsid w:val="00272BFA"/>
    <w:rsid w:val="002C49FF"/>
    <w:rsid w:val="002F0D5F"/>
    <w:rsid w:val="002F28FF"/>
    <w:rsid w:val="002F5CD8"/>
    <w:rsid w:val="0033098B"/>
    <w:rsid w:val="003708B7"/>
    <w:rsid w:val="00383692"/>
    <w:rsid w:val="00435227"/>
    <w:rsid w:val="00474807"/>
    <w:rsid w:val="004921FE"/>
    <w:rsid w:val="004C72AB"/>
    <w:rsid w:val="0053020A"/>
    <w:rsid w:val="00535E5E"/>
    <w:rsid w:val="00544A77"/>
    <w:rsid w:val="0054685E"/>
    <w:rsid w:val="005736C5"/>
    <w:rsid w:val="00594EC9"/>
    <w:rsid w:val="005E0F23"/>
    <w:rsid w:val="005F13D8"/>
    <w:rsid w:val="006620E1"/>
    <w:rsid w:val="006834E2"/>
    <w:rsid w:val="006F616B"/>
    <w:rsid w:val="00706ECE"/>
    <w:rsid w:val="00747620"/>
    <w:rsid w:val="007E3321"/>
    <w:rsid w:val="00805C23"/>
    <w:rsid w:val="00817BEC"/>
    <w:rsid w:val="008201DB"/>
    <w:rsid w:val="00837DE0"/>
    <w:rsid w:val="008D2FEA"/>
    <w:rsid w:val="008D4F4B"/>
    <w:rsid w:val="008D672D"/>
    <w:rsid w:val="00931057"/>
    <w:rsid w:val="0093357C"/>
    <w:rsid w:val="00961933"/>
    <w:rsid w:val="009A0E1F"/>
    <w:rsid w:val="009C1FF8"/>
    <w:rsid w:val="00AA555D"/>
    <w:rsid w:val="00AC2286"/>
    <w:rsid w:val="00AC663F"/>
    <w:rsid w:val="00AD0148"/>
    <w:rsid w:val="00AF27B2"/>
    <w:rsid w:val="00AF50DC"/>
    <w:rsid w:val="00B35DA8"/>
    <w:rsid w:val="00B42369"/>
    <w:rsid w:val="00B624C6"/>
    <w:rsid w:val="00B67B76"/>
    <w:rsid w:val="00B95A91"/>
    <w:rsid w:val="00C7547B"/>
    <w:rsid w:val="00CC0DE8"/>
    <w:rsid w:val="00CC7A3D"/>
    <w:rsid w:val="00CD1B07"/>
    <w:rsid w:val="00CF5BFA"/>
    <w:rsid w:val="00D10380"/>
    <w:rsid w:val="00D3326E"/>
    <w:rsid w:val="00D36FC3"/>
    <w:rsid w:val="00D41AF9"/>
    <w:rsid w:val="00DB439D"/>
    <w:rsid w:val="00E14091"/>
    <w:rsid w:val="00E14C0D"/>
    <w:rsid w:val="00E266AB"/>
    <w:rsid w:val="00E320FB"/>
    <w:rsid w:val="00E53A41"/>
    <w:rsid w:val="00EB41CC"/>
    <w:rsid w:val="00EC5C3E"/>
    <w:rsid w:val="00EE0EC9"/>
    <w:rsid w:val="00F5476A"/>
    <w:rsid w:val="00F82F08"/>
    <w:rsid w:val="00FC60CA"/>
    <w:rsid w:val="00FE0398"/>
    <w:rsid w:val="00FE201F"/>
    <w:rsid w:val="00FF3A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C9C0-DB85-40E5-ACF7-24DE8F5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FEA"/>
    <w:pPr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F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nhideWhenUsed/>
    <w:rsid w:val="008D2FE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D2FEA"/>
    <w:pPr>
      <w:ind w:firstLine="709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D2F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D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2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5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C663F"/>
  </w:style>
  <w:style w:type="paragraph" w:styleId="a9">
    <w:name w:val="footnote text"/>
    <w:basedOn w:val="a"/>
    <w:link w:val="aa"/>
    <w:uiPriority w:val="99"/>
    <w:semiHidden/>
    <w:unhideWhenUsed/>
    <w:rsid w:val="002C49F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9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9FF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72B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72B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7919-CC1E-4420-9598-F017F4A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Ирина Ивановна</dc:creator>
  <cp:lastModifiedBy>Бабитова Инга Мухамедовна</cp:lastModifiedBy>
  <cp:revision>18</cp:revision>
  <cp:lastPrinted>2018-12-14T05:23:00Z</cp:lastPrinted>
  <dcterms:created xsi:type="dcterms:W3CDTF">2020-11-24T05:46:00Z</dcterms:created>
  <dcterms:modified xsi:type="dcterms:W3CDTF">2020-11-27T09:09:00Z</dcterms:modified>
</cp:coreProperties>
</file>